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24FED" w14:textId="77777777" w:rsidR="00D74876" w:rsidRPr="003542A7" w:rsidRDefault="00A16274">
      <w:p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sz w:val="21"/>
          <w:szCs w:val="21"/>
        </w:rPr>
        <w:t>DECRETAÇÕES MUNICIPAIS POR INCÊNDIOS FLORESTAIS AUMENTAM 193% EM 2024: CNM ALERTA PARA DANOS E PREJUÍZOS</w:t>
      </w:r>
    </w:p>
    <w:p w14:paraId="11D2DB55" w14:textId="77777777" w:rsidR="00D74876" w:rsidRPr="003542A7" w:rsidRDefault="00A16274">
      <w:pPr>
        <w:spacing w:before="120"/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O ano de 2024 vem sendo assolado pelos incêndios florestais, com recordes de focos de queimadas na Amazônia e Pantanal. Porém, a CNM evidencia que no que diz respeito às decretações municipais de situação de emergência, o mês de agosto representa 70% do total desde janeiro até 26 de agosto, com 118 das 167 decretações, de acordo com dados do Ministério da Integração e do Desenvolvimento Regional (MIDR).</w:t>
      </w:r>
    </w:p>
    <w:p w14:paraId="6134F4DD" w14:textId="6D3349BE" w:rsidR="00D74876" w:rsidRPr="003542A7" w:rsidRDefault="00A16274">
      <w:pPr>
        <w:spacing w:before="120"/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Para se ter dimensão do aumento das decretações municipais, a Confederação evidencia que de janeiro a agosto de 2023, foram registrados </w:t>
      </w:r>
      <w:r w:rsidRPr="003542A7">
        <w:rPr>
          <w:rFonts w:ascii="Calibri" w:eastAsia="Calibri" w:hAnsi="Calibri" w:cs="Calibri"/>
          <w:sz w:val="21"/>
          <w:szCs w:val="21"/>
        </w:rPr>
        <w:t>57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 decretos de situação de emergência em decorrência dos incêndios florestais, ou seja, houve um aumento de quase </w:t>
      </w:r>
      <w:r w:rsidRPr="00A16274">
        <w:rPr>
          <w:rFonts w:ascii="Calibri" w:eastAsia="Calibri" w:hAnsi="Calibri" w:cs="Calibri"/>
          <w:bCs/>
          <w:sz w:val="21"/>
          <w:szCs w:val="21"/>
        </w:rPr>
        <w:t>193</w:t>
      </w:r>
      <w:r w:rsidRPr="00A16274">
        <w:rPr>
          <w:rFonts w:ascii="Calibri" w:eastAsia="Calibri" w:hAnsi="Calibri" w:cs="Calibri"/>
          <w:bCs/>
          <w:sz w:val="21"/>
          <w:szCs w:val="21"/>
        </w:rPr>
        <w:t>%</w:t>
      </w:r>
      <w:r w:rsidRPr="003542A7">
        <w:rPr>
          <w:rFonts w:ascii="Calibri" w:eastAsia="Calibri" w:hAnsi="Calibri" w:cs="Calibri"/>
          <w:sz w:val="21"/>
          <w:szCs w:val="21"/>
        </w:rPr>
        <w:t xml:space="preserve">.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Ao comparar com as decretações restritas ao mês de agosto, em 2023 foram 26 decretações, ou seja, houve um aumento de quase de </w:t>
      </w:r>
      <w:r w:rsidRPr="003542A7">
        <w:rPr>
          <w:rFonts w:ascii="Calibri" w:eastAsia="Calibri" w:hAnsi="Calibri" w:cs="Calibri"/>
          <w:sz w:val="21"/>
          <w:szCs w:val="21"/>
        </w:rPr>
        <w:t xml:space="preserve">354%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>em relação a agosto de 2024, com 118 decretações.</w:t>
      </w:r>
    </w:p>
    <w:p w14:paraId="47A2A9D6" w14:textId="77777777" w:rsidR="00D74876" w:rsidRPr="003542A7" w:rsidRDefault="00A16274">
      <w:pPr>
        <w:spacing w:before="120"/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Nesse contexto, já são mais de </w:t>
      </w:r>
      <w:r w:rsidRPr="003542A7">
        <w:rPr>
          <w:rFonts w:ascii="Calibri" w:eastAsia="Calibri" w:hAnsi="Calibri" w:cs="Calibri"/>
          <w:sz w:val="21"/>
          <w:szCs w:val="21"/>
        </w:rPr>
        <w:t>4,4 milhões de pessoas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 afetadas de janeiro até agosto, sendo que desse total, 4 milhões foram afetadas apenas em agosto, ou seja 90% do total de pessoas afetadas de janeiro até agosto. Os impactos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 ambientais são incalcul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áveis e se traduzem na perda da biodiversidade do país. Já os danos e prejuízos ainda estão sendo mensurados pelos gestores municipais, mas fato é que os incêndios florestais impactam diretamente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>o sistema municipal de saúde com sobrecarga de atendimentos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, bem como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>preju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dicam o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>abastecimento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 de água potável</w:t>
      </w:r>
      <w:r w:rsidRPr="003542A7">
        <w:rPr>
          <w:rFonts w:ascii="Calibri" w:eastAsia="Calibri" w:hAnsi="Calibri" w:cs="Calibri"/>
          <w:b w:val="0"/>
          <w:sz w:val="21"/>
          <w:szCs w:val="21"/>
        </w:rPr>
        <w:t>, suspensão de aulas e outros impactos.</w:t>
      </w:r>
    </w:p>
    <w:p w14:paraId="465A51A1" w14:textId="77777777" w:rsidR="00D74876" w:rsidRPr="003542A7" w:rsidRDefault="00D74876">
      <w:pPr>
        <w:ind w:left="0" w:hanging="2"/>
        <w:jc w:val="both"/>
        <w:rPr>
          <w:rFonts w:ascii="Calibri" w:eastAsia="Calibri" w:hAnsi="Calibri" w:cs="Calibri"/>
          <w:sz w:val="21"/>
          <w:szCs w:val="21"/>
        </w:rPr>
      </w:pPr>
    </w:p>
    <w:p w14:paraId="11FA73FE" w14:textId="77777777" w:rsidR="00D74876" w:rsidRPr="003542A7" w:rsidRDefault="00A16274">
      <w:p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A CNM destaca os estados com Municípios que decretaram Situação de Emergência, do maior ao menor número em decretações no mês de agosto de 2024:</w:t>
      </w:r>
    </w:p>
    <w:p w14:paraId="50409D55" w14:textId="77777777" w:rsidR="00D74876" w:rsidRPr="003542A7" w:rsidRDefault="00D74876">
      <w:pPr>
        <w:ind w:left="0" w:hanging="2"/>
        <w:jc w:val="both"/>
        <w:rPr>
          <w:rFonts w:ascii="Calibri" w:eastAsia="Calibri" w:hAnsi="Calibri" w:cs="Calibri"/>
          <w:sz w:val="21"/>
          <w:szCs w:val="21"/>
        </w:rPr>
      </w:pPr>
    </w:p>
    <w:p w14:paraId="59E09959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SP: 51 decretações;</w:t>
      </w:r>
    </w:p>
    <w:p w14:paraId="1867D283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MS: 35 decretações;</w:t>
      </w:r>
    </w:p>
    <w:p w14:paraId="6203A3A2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AC: 22 decretações;</w:t>
      </w:r>
    </w:p>
    <w:p w14:paraId="40A978F6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RO: 02 decretações;</w:t>
      </w:r>
    </w:p>
    <w:p w14:paraId="1491FF85" w14:textId="3E5016B6" w:rsidR="000A26DD" w:rsidRPr="003542A7" w:rsidRDefault="000A26DD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ES: 02 decretações;</w:t>
      </w:r>
    </w:p>
    <w:p w14:paraId="4092398D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AM: 01 decreto;</w:t>
      </w:r>
    </w:p>
    <w:p w14:paraId="44B6BB4D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BA: 01 decreto;</w:t>
      </w:r>
    </w:p>
    <w:p w14:paraId="313C5416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MG: 01 decreto;</w:t>
      </w:r>
    </w:p>
    <w:p w14:paraId="7272A508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MT: 01 decreto;</w:t>
      </w:r>
    </w:p>
    <w:p w14:paraId="33322A54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RJ: 01 decreto;</w:t>
      </w:r>
    </w:p>
    <w:p w14:paraId="268EAD43" w14:textId="77777777" w:rsidR="00D74876" w:rsidRPr="003542A7" w:rsidRDefault="00A16274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>SC: 01 decreto.</w:t>
      </w:r>
    </w:p>
    <w:p w14:paraId="03BCA4C3" w14:textId="77777777" w:rsidR="00D74876" w:rsidRPr="003542A7" w:rsidRDefault="00D74876">
      <w:pPr>
        <w:ind w:left="0" w:hanging="2"/>
        <w:jc w:val="both"/>
        <w:rPr>
          <w:rFonts w:ascii="Calibri" w:eastAsia="Calibri" w:hAnsi="Calibri" w:cs="Calibri"/>
          <w:sz w:val="21"/>
          <w:szCs w:val="21"/>
        </w:rPr>
      </w:pPr>
    </w:p>
    <w:p w14:paraId="77098196" w14:textId="77777777" w:rsidR="00D74876" w:rsidRPr="003542A7" w:rsidRDefault="00A16274">
      <w:pPr>
        <w:ind w:left="0" w:hanging="2"/>
        <w:jc w:val="both"/>
        <w:rPr>
          <w:rFonts w:ascii="Calibri" w:eastAsia="Calibri" w:hAnsi="Calibri" w:cs="Calibri"/>
          <w:sz w:val="21"/>
          <w:szCs w:val="21"/>
        </w:rPr>
      </w:pPr>
      <w:r w:rsidRPr="003542A7">
        <w:rPr>
          <w:rFonts w:ascii="Calibri" w:eastAsia="Calibri" w:hAnsi="Calibri" w:cs="Calibri"/>
          <w:sz w:val="21"/>
          <w:szCs w:val="21"/>
        </w:rPr>
        <w:t>PREJUÍZOS CAUSADOS POR INCÊNDIOS FLORESTAIS – AGOSTO 2024</w:t>
      </w:r>
    </w:p>
    <w:p w14:paraId="42BD52E6" w14:textId="77777777" w:rsidR="00D74876" w:rsidRPr="003542A7" w:rsidRDefault="00D74876">
      <w:p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</w:p>
    <w:p w14:paraId="742221AF" w14:textId="77777777" w:rsidR="00D74876" w:rsidRPr="003542A7" w:rsidRDefault="00A16274">
      <w:p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Os prejuízos causados pelos incêndios florestais em agosto de 2024 respondem por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98% do total de prejuízos para todo o ano de 2024, com 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mais de </w:t>
      </w:r>
      <w:r w:rsidRPr="003542A7">
        <w:rPr>
          <w:rFonts w:ascii="Calibri" w:eastAsia="Calibri" w:hAnsi="Calibri" w:cs="Calibri"/>
          <w:sz w:val="21"/>
          <w:szCs w:val="21"/>
        </w:rPr>
        <w:t>R$ 37,3 milhões</w:t>
      </w:r>
      <w:r w:rsidRPr="003542A7">
        <w:rPr>
          <w:rFonts w:ascii="Calibri" w:eastAsia="Calibri" w:hAnsi="Calibri" w:cs="Calibri"/>
          <w:b w:val="0"/>
          <w:sz w:val="21"/>
          <w:szCs w:val="21"/>
        </w:rPr>
        <w:t xml:space="preserve"> dos R$38 milhões registrados pelos gestores municipais. Entretanto, a maioria dos gestores municipais ainda estão inserindo informações dos danos e prejuízos no sistema do MIDR, portanto, os valores ainda não correspondem ao impacto total do desastre.  </w:t>
      </w:r>
    </w:p>
    <w:p w14:paraId="5C733880" w14:textId="77777777" w:rsidR="00D74876" w:rsidRPr="003542A7" w:rsidRDefault="00D74876">
      <w:pPr>
        <w:ind w:left="0" w:hanging="2"/>
        <w:jc w:val="both"/>
        <w:rPr>
          <w:rFonts w:ascii="Calibri" w:eastAsia="Calibri" w:hAnsi="Calibri" w:cs="Calibri"/>
          <w:b w:val="0"/>
          <w:sz w:val="21"/>
          <w:szCs w:val="21"/>
        </w:rPr>
      </w:pPr>
    </w:p>
    <w:p w14:paraId="4B4B5F24" w14:textId="4EFA1D1E" w:rsidR="00D74876" w:rsidRPr="003542A7" w:rsidRDefault="00A1627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hAnsi="Calibri" w:cs="Calibri"/>
          <w:color w:val="000000"/>
          <w:sz w:val="21"/>
          <w:szCs w:val="21"/>
        </w:rPr>
      </w:pPr>
      <w:r w:rsidRPr="003542A7">
        <w:rPr>
          <w:rFonts w:ascii="Calibri" w:hAnsi="Calibri" w:cs="Calibri"/>
          <w:color w:val="000000"/>
          <w:sz w:val="21"/>
          <w:szCs w:val="21"/>
        </w:rPr>
        <w:t>Prejuízos incêndios Florestais – setores mais afetados</w:t>
      </w:r>
      <w:r w:rsidR="003542A7" w:rsidRPr="003542A7">
        <w:rPr>
          <w:rFonts w:ascii="Calibri" w:hAnsi="Calibri" w:cs="Calibri"/>
          <w:color w:val="000000"/>
          <w:sz w:val="21"/>
          <w:szCs w:val="21"/>
        </w:rPr>
        <w:t xml:space="preserve"> - </w:t>
      </w:r>
      <w:r w:rsidRPr="003542A7">
        <w:rPr>
          <w:rFonts w:ascii="Calibri" w:hAnsi="Calibri" w:cs="Calibri"/>
          <w:color w:val="000000"/>
          <w:sz w:val="21"/>
          <w:szCs w:val="21"/>
        </w:rPr>
        <w:t>2024</w:t>
      </w:r>
    </w:p>
    <w:tbl>
      <w:tblPr>
        <w:tblStyle w:val="a"/>
        <w:tblW w:w="97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3000"/>
        <w:gridCol w:w="3675"/>
        <w:gridCol w:w="2490"/>
      </w:tblGrid>
      <w:tr w:rsidR="00D74876" w:rsidRPr="003542A7" w14:paraId="78A1DB1E" w14:textId="77777777">
        <w:trPr>
          <w:trHeight w:val="210"/>
          <w:jc w:val="center"/>
        </w:trPr>
        <w:tc>
          <w:tcPr>
            <w:tcW w:w="600" w:type="dxa"/>
            <w:shd w:val="clear" w:color="auto" w:fill="A4C2F4"/>
          </w:tcPr>
          <w:p w14:paraId="258DBD59" w14:textId="77777777" w:rsidR="00D74876" w:rsidRPr="003542A7" w:rsidRDefault="00D74876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000" w:type="dxa"/>
            <w:vMerge w:val="restart"/>
            <w:shd w:val="clear" w:color="auto" w:fill="A4C2F4"/>
          </w:tcPr>
          <w:p w14:paraId="49A5CDEE" w14:textId="77777777" w:rsidR="00D74876" w:rsidRPr="003542A7" w:rsidRDefault="00D74876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78DA120D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sz w:val="21"/>
                <w:szCs w:val="21"/>
              </w:rPr>
              <w:t>SETORES MAIS AFETADOS</w:t>
            </w:r>
          </w:p>
        </w:tc>
        <w:tc>
          <w:tcPr>
            <w:tcW w:w="6165" w:type="dxa"/>
            <w:gridSpan w:val="2"/>
            <w:shd w:val="clear" w:color="auto" w:fill="A4C2F4"/>
          </w:tcPr>
          <w:p w14:paraId="60F380D2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sz w:val="21"/>
                <w:szCs w:val="21"/>
              </w:rPr>
              <w:t>PREJUÍZOS ECONÔMICOS (R$)</w:t>
            </w:r>
          </w:p>
        </w:tc>
      </w:tr>
      <w:tr w:rsidR="00D74876" w:rsidRPr="003542A7" w14:paraId="79B8209F" w14:textId="77777777">
        <w:trPr>
          <w:trHeight w:val="210"/>
          <w:jc w:val="center"/>
        </w:trPr>
        <w:tc>
          <w:tcPr>
            <w:tcW w:w="600" w:type="dxa"/>
            <w:shd w:val="clear" w:color="auto" w:fill="A4C2F4"/>
          </w:tcPr>
          <w:p w14:paraId="745FFE23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sz w:val="21"/>
                <w:szCs w:val="21"/>
              </w:rPr>
              <w:t>Nº</w:t>
            </w:r>
          </w:p>
        </w:tc>
        <w:tc>
          <w:tcPr>
            <w:tcW w:w="3000" w:type="dxa"/>
            <w:vMerge/>
            <w:shd w:val="clear" w:color="auto" w:fill="A4C2F4"/>
          </w:tcPr>
          <w:p w14:paraId="21A588D1" w14:textId="77777777" w:rsidR="00D74876" w:rsidRPr="003542A7" w:rsidRDefault="00D7487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675" w:type="dxa"/>
            <w:shd w:val="clear" w:color="auto" w:fill="A4C2F4"/>
          </w:tcPr>
          <w:p w14:paraId="667E7664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sz w:val="21"/>
                <w:szCs w:val="21"/>
              </w:rPr>
              <w:t>JAN/AGO 2024</w:t>
            </w:r>
          </w:p>
        </w:tc>
        <w:tc>
          <w:tcPr>
            <w:tcW w:w="2490" w:type="dxa"/>
            <w:shd w:val="clear" w:color="auto" w:fill="A4C2F4"/>
          </w:tcPr>
          <w:p w14:paraId="1C90CA93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sz w:val="21"/>
                <w:szCs w:val="21"/>
              </w:rPr>
              <w:t>AGOSTO 2024</w:t>
            </w:r>
          </w:p>
        </w:tc>
      </w:tr>
      <w:tr w:rsidR="00D74876" w:rsidRPr="003542A7" w14:paraId="27EAFEA1" w14:textId="77777777">
        <w:trPr>
          <w:jc w:val="center"/>
        </w:trPr>
        <w:tc>
          <w:tcPr>
            <w:tcW w:w="600" w:type="dxa"/>
            <w:shd w:val="clear" w:color="auto" w:fill="A4C2F4"/>
          </w:tcPr>
          <w:p w14:paraId="27C86EF2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1</w:t>
            </w:r>
          </w:p>
        </w:tc>
        <w:tc>
          <w:tcPr>
            <w:tcW w:w="3000" w:type="dxa"/>
            <w:shd w:val="clear" w:color="auto" w:fill="A4C2F4"/>
          </w:tcPr>
          <w:p w14:paraId="4F550511" w14:textId="77777777" w:rsidR="00D74876" w:rsidRPr="003542A7" w:rsidRDefault="00A16274">
            <w:pPr>
              <w:ind w:left="0" w:hanging="2"/>
              <w:jc w:val="both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Agricultura</w:t>
            </w:r>
          </w:p>
        </w:tc>
        <w:tc>
          <w:tcPr>
            <w:tcW w:w="3675" w:type="dxa"/>
            <w:shd w:val="clear" w:color="auto" w:fill="A4C2F4"/>
          </w:tcPr>
          <w:p w14:paraId="0BB03E23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13,6 milhões</w:t>
            </w:r>
          </w:p>
        </w:tc>
        <w:tc>
          <w:tcPr>
            <w:tcW w:w="2490" w:type="dxa"/>
            <w:shd w:val="clear" w:color="auto" w:fill="A4C2F4"/>
          </w:tcPr>
          <w:p w14:paraId="034C79D8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13,</w:t>
            </w: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5</w:t>
            </w: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 xml:space="preserve"> milhões</w:t>
            </w:r>
          </w:p>
        </w:tc>
      </w:tr>
      <w:tr w:rsidR="00D74876" w:rsidRPr="003542A7" w14:paraId="13FAB092" w14:textId="77777777">
        <w:trPr>
          <w:jc w:val="center"/>
        </w:trPr>
        <w:tc>
          <w:tcPr>
            <w:tcW w:w="600" w:type="dxa"/>
            <w:shd w:val="clear" w:color="auto" w:fill="A4C2F4"/>
          </w:tcPr>
          <w:p w14:paraId="7D3731F1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2</w:t>
            </w:r>
          </w:p>
        </w:tc>
        <w:tc>
          <w:tcPr>
            <w:tcW w:w="3000" w:type="dxa"/>
            <w:shd w:val="clear" w:color="auto" w:fill="A4C2F4"/>
          </w:tcPr>
          <w:p w14:paraId="4983D805" w14:textId="77777777" w:rsidR="00D74876" w:rsidRPr="003542A7" w:rsidRDefault="00A16274">
            <w:pPr>
              <w:ind w:left="0" w:hanging="2"/>
              <w:jc w:val="both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Assistência Médica Emergencial</w:t>
            </w:r>
          </w:p>
        </w:tc>
        <w:tc>
          <w:tcPr>
            <w:tcW w:w="3675" w:type="dxa"/>
            <w:shd w:val="clear" w:color="auto" w:fill="A4C2F4"/>
          </w:tcPr>
          <w:p w14:paraId="62032031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10 milhões</w:t>
            </w:r>
          </w:p>
        </w:tc>
        <w:tc>
          <w:tcPr>
            <w:tcW w:w="2490" w:type="dxa"/>
            <w:shd w:val="clear" w:color="auto" w:fill="A4C2F4"/>
          </w:tcPr>
          <w:p w14:paraId="2CF6D29E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9,8 milhões</w:t>
            </w:r>
          </w:p>
        </w:tc>
      </w:tr>
      <w:tr w:rsidR="00D74876" w:rsidRPr="003542A7" w14:paraId="74848344" w14:textId="77777777">
        <w:trPr>
          <w:jc w:val="center"/>
        </w:trPr>
        <w:tc>
          <w:tcPr>
            <w:tcW w:w="600" w:type="dxa"/>
            <w:shd w:val="clear" w:color="auto" w:fill="A4C2F4"/>
          </w:tcPr>
          <w:p w14:paraId="13549B39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3</w:t>
            </w:r>
          </w:p>
        </w:tc>
        <w:tc>
          <w:tcPr>
            <w:tcW w:w="3000" w:type="dxa"/>
            <w:shd w:val="clear" w:color="auto" w:fill="A4C2F4"/>
          </w:tcPr>
          <w:p w14:paraId="2FD38671" w14:textId="77777777" w:rsidR="00D74876" w:rsidRPr="003542A7" w:rsidRDefault="00A16274">
            <w:pPr>
              <w:ind w:left="0" w:hanging="2"/>
              <w:jc w:val="both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Pecuária</w:t>
            </w:r>
          </w:p>
        </w:tc>
        <w:tc>
          <w:tcPr>
            <w:tcW w:w="3675" w:type="dxa"/>
            <w:shd w:val="clear" w:color="auto" w:fill="A4C2F4"/>
          </w:tcPr>
          <w:p w14:paraId="60D96162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9,2 milhões</w:t>
            </w:r>
          </w:p>
        </w:tc>
        <w:tc>
          <w:tcPr>
            <w:tcW w:w="2490" w:type="dxa"/>
            <w:shd w:val="clear" w:color="auto" w:fill="A4C2F4"/>
          </w:tcPr>
          <w:p w14:paraId="0E79DF9F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 w:val="0"/>
                <w:sz w:val="21"/>
                <w:szCs w:val="21"/>
              </w:rPr>
              <w:t>8,8 milhões</w:t>
            </w:r>
          </w:p>
        </w:tc>
      </w:tr>
      <w:tr w:rsidR="00D74876" w:rsidRPr="003542A7" w14:paraId="3A30BD62" w14:textId="77777777">
        <w:trPr>
          <w:jc w:val="center"/>
        </w:trPr>
        <w:tc>
          <w:tcPr>
            <w:tcW w:w="600" w:type="dxa"/>
            <w:shd w:val="clear" w:color="auto" w:fill="A4C2F4"/>
          </w:tcPr>
          <w:p w14:paraId="1AACC3DD" w14:textId="77777777" w:rsidR="00D74876" w:rsidRPr="003542A7" w:rsidRDefault="00D74876">
            <w:pPr>
              <w:ind w:left="0" w:hanging="2"/>
              <w:jc w:val="center"/>
              <w:rPr>
                <w:rFonts w:ascii="Calibri" w:eastAsia="Calibri" w:hAnsi="Calibri" w:cs="Calibri"/>
                <w:b w:val="0"/>
                <w:sz w:val="21"/>
                <w:szCs w:val="21"/>
              </w:rPr>
            </w:pPr>
          </w:p>
        </w:tc>
        <w:tc>
          <w:tcPr>
            <w:tcW w:w="3000" w:type="dxa"/>
            <w:shd w:val="clear" w:color="auto" w:fill="A4C2F4"/>
          </w:tcPr>
          <w:p w14:paraId="70E2A802" w14:textId="77777777" w:rsidR="00D74876" w:rsidRPr="003542A7" w:rsidRDefault="00A16274">
            <w:pPr>
              <w:ind w:left="0" w:hanging="2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sz w:val="21"/>
                <w:szCs w:val="21"/>
              </w:rPr>
              <w:t>TOTAL</w:t>
            </w:r>
          </w:p>
        </w:tc>
        <w:tc>
          <w:tcPr>
            <w:tcW w:w="3675" w:type="dxa"/>
            <w:shd w:val="clear" w:color="auto" w:fill="A4C2F4"/>
          </w:tcPr>
          <w:p w14:paraId="425453CE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Cs/>
                <w:sz w:val="21"/>
                <w:szCs w:val="21"/>
              </w:rPr>
              <w:t xml:space="preserve">38 milhões </w:t>
            </w:r>
          </w:p>
        </w:tc>
        <w:tc>
          <w:tcPr>
            <w:tcW w:w="2490" w:type="dxa"/>
            <w:shd w:val="clear" w:color="auto" w:fill="A4C2F4"/>
          </w:tcPr>
          <w:p w14:paraId="381FE213" w14:textId="77777777" w:rsidR="00D74876" w:rsidRPr="003542A7" w:rsidRDefault="00A16274">
            <w:pPr>
              <w:ind w:left="0" w:hanging="2"/>
              <w:jc w:val="center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 w:rsidRPr="003542A7">
              <w:rPr>
                <w:rFonts w:ascii="Calibri" w:eastAsia="Calibri" w:hAnsi="Calibri" w:cs="Calibri"/>
                <w:bCs/>
                <w:sz w:val="21"/>
                <w:szCs w:val="21"/>
              </w:rPr>
              <w:t>37,3 milhões</w:t>
            </w:r>
          </w:p>
        </w:tc>
      </w:tr>
    </w:tbl>
    <w:p w14:paraId="7ADE2134" w14:textId="77777777" w:rsidR="00D74876" w:rsidRPr="003542A7" w:rsidRDefault="00A16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hAnsi="Calibri" w:cs="Calibri"/>
          <w:b w:val="0"/>
          <w:color w:val="000000"/>
          <w:sz w:val="21"/>
          <w:szCs w:val="21"/>
        </w:rPr>
      </w:pPr>
      <w:r w:rsidRPr="003542A7">
        <w:rPr>
          <w:rFonts w:ascii="Calibri" w:hAnsi="Calibri" w:cs="Calibri"/>
          <w:b w:val="0"/>
          <w:color w:val="000000"/>
          <w:sz w:val="21"/>
          <w:szCs w:val="21"/>
        </w:rPr>
        <w:t>Fonte: S2ID – Elaboração Confederação Nacional de Municípios</w:t>
      </w:r>
    </w:p>
    <w:p w14:paraId="00257516" w14:textId="77777777" w:rsidR="00D74876" w:rsidRPr="003542A7" w:rsidRDefault="00A16274">
      <w:pPr>
        <w:spacing w:line="360" w:lineRule="auto"/>
        <w:ind w:left="0" w:hanging="2"/>
        <w:jc w:val="both"/>
        <w:rPr>
          <w:rFonts w:ascii="Calibri" w:eastAsia="Arial" w:hAnsi="Calibri" w:cs="Calibri"/>
          <w:b w:val="0"/>
          <w:sz w:val="21"/>
          <w:szCs w:val="21"/>
          <w:highlight w:val="white"/>
        </w:rPr>
      </w:pPr>
      <w:r w:rsidRPr="003542A7">
        <w:rPr>
          <w:rFonts w:ascii="Calibri" w:eastAsia="Arial" w:hAnsi="Calibri" w:cs="Calibri"/>
          <w:b w:val="0"/>
          <w:sz w:val="21"/>
          <w:szCs w:val="21"/>
          <w:highlight w:val="white"/>
        </w:rPr>
        <w:lastRenderedPageBreak/>
        <w:t>A CNM destaca em junho de 2024 foi sancionada a Lei 14.944/2024, Política Nacional de Manejo Integrado do Fogo, a qual deve ser implementada não apenas pelos três entes da Federação, mas também pela sociedade civil e por entidades privadas, em regime de cooperação e em articulação entre si. Porém, os Municípios enfrentam dificuldades técnicas e financeiras para realizar o manejo integrado do fogo, o qual exige elaboração de planos, políticas, ações de monitoramento, prevenção e o combate aos incêndios flore</w:t>
      </w:r>
      <w:r w:rsidRPr="003542A7">
        <w:rPr>
          <w:rFonts w:ascii="Calibri" w:eastAsia="Arial" w:hAnsi="Calibri" w:cs="Calibri"/>
          <w:b w:val="0"/>
          <w:sz w:val="21"/>
          <w:szCs w:val="21"/>
          <w:highlight w:val="white"/>
        </w:rPr>
        <w:t xml:space="preserve">stais. </w:t>
      </w:r>
    </w:p>
    <w:p w14:paraId="4D4B001B" w14:textId="77777777" w:rsidR="003542A7" w:rsidRDefault="003542A7">
      <w:pPr>
        <w:spacing w:line="360" w:lineRule="auto"/>
        <w:ind w:left="0" w:hanging="2"/>
        <w:jc w:val="both"/>
        <w:rPr>
          <w:rFonts w:ascii="Calibri" w:eastAsia="Arial" w:hAnsi="Calibri" w:cs="Calibri"/>
          <w:b w:val="0"/>
          <w:sz w:val="21"/>
          <w:szCs w:val="21"/>
          <w:highlight w:val="white"/>
        </w:rPr>
      </w:pPr>
    </w:p>
    <w:p w14:paraId="609221C1" w14:textId="2EE2C923" w:rsidR="00D74876" w:rsidRPr="003542A7" w:rsidRDefault="00A16274">
      <w:pPr>
        <w:spacing w:line="360" w:lineRule="auto"/>
        <w:ind w:left="0" w:hanging="2"/>
        <w:jc w:val="both"/>
        <w:rPr>
          <w:rFonts w:ascii="Calibri" w:eastAsia="Arial" w:hAnsi="Calibri" w:cs="Calibri"/>
          <w:b w:val="0"/>
          <w:sz w:val="21"/>
          <w:szCs w:val="21"/>
          <w:highlight w:val="white"/>
        </w:rPr>
      </w:pPr>
      <w:r w:rsidRPr="003542A7">
        <w:rPr>
          <w:rFonts w:ascii="Calibri" w:eastAsia="Arial" w:hAnsi="Calibri" w:cs="Calibri"/>
          <w:b w:val="0"/>
          <w:sz w:val="21"/>
          <w:szCs w:val="21"/>
          <w:highlight w:val="white"/>
        </w:rPr>
        <w:t>Dessa forma, considerando as alterações climáticas e o aumento das temperaturas e do clima seco que favorecem os incêndios florestais, urge a necessidade de integração das ações entre os entes federativos, com auxílio técnico e financeiro dos Estados e da União.</w:t>
      </w:r>
    </w:p>
    <w:p w14:paraId="6125E1BF" w14:textId="77777777" w:rsidR="00D74876" w:rsidRPr="003542A7" w:rsidRDefault="00A162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hAnsi="Calibri" w:cs="Calibri"/>
          <w:b w:val="0"/>
          <w:sz w:val="21"/>
          <w:szCs w:val="21"/>
        </w:rPr>
      </w:pPr>
      <w:r w:rsidRPr="003542A7">
        <w:rPr>
          <w:rFonts w:ascii="Calibri" w:hAnsi="Calibri" w:cs="Calibri"/>
          <w:b w:val="0"/>
          <w:sz w:val="21"/>
          <w:szCs w:val="21"/>
        </w:rPr>
        <w:t>‘</w:t>
      </w:r>
    </w:p>
    <w:sectPr w:rsidR="00D74876" w:rsidRPr="003542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336" w:right="992" w:bottom="1258" w:left="1134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DD1A2" w14:textId="77777777" w:rsidR="00A16274" w:rsidRDefault="00A16274">
      <w:pPr>
        <w:spacing w:line="240" w:lineRule="auto"/>
        <w:ind w:left="0" w:hanging="2"/>
      </w:pPr>
      <w:r>
        <w:separator/>
      </w:r>
    </w:p>
  </w:endnote>
  <w:endnote w:type="continuationSeparator" w:id="0">
    <w:p w14:paraId="418798AD" w14:textId="77777777" w:rsidR="00A16274" w:rsidRDefault="00A1627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B64DF39-0B44-4FC6-9AFA-966E33E899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4936E79-59FC-4E8C-9D7B-50DC2C51FB8B}"/>
    <w:embedBold r:id="rId3" w:fontKey="{C77F1472-50A6-4AE0-A16B-CA4BCDAC7D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6C9EF99-D2A9-4CEF-99DC-BB0E72F934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16D27C7-A00E-4362-9A45-00B79116DD1D}"/>
    <w:embedBoldItalic r:id="rId6" w:fontKey="{357D84D1-F486-472A-B643-F08F4928DD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5196D70-8871-44FA-A96D-D94751718A8B}"/>
    <w:embedBold r:id="rId8" w:fontKey="{58FB7D09-9F83-42BB-B9D4-E32820D5B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87E3ED-2533-4744-9353-3BD778A15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20420" w14:textId="77777777" w:rsidR="000A26DD" w:rsidRDefault="000A26DD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26198" w14:textId="77777777" w:rsidR="00D74876" w:rsidRDefault="00A162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17"/>
        <w:szCs w:val="17"/>
      </w:rPr>
    </w:pPr>
    <w:bookmarkStart w:id="0" w:name="_heading=h.gjdgxs" w:colFirst="0" w:colLast="0"/>
    <w:bookmarkEnd w:id="0"/>
    <w:r>
      <w:rPr>
        <w:rFonts w:ascii="Arial" w:eastAsia="Arial" w:hAnsi="Arial" w:cs="Arial"/>
        <w:color w:val="000000"/>
        <w:sz w:val="17"/>
        <w:szCs w:val="17"/>
      </w:rPr>
      <w:t xml:space="preserve">Sede: SGAN 601 Módulo N - Brasília/DF • Cep 70.830-010 • Brasília – DF • </w:t>
    </w:r>
    <w:proofErr w:type="spellStart"/>
    <w:r>
      <w:rPr>
        <w:rFonts w:ascii="Arial" w:eastAsia="Arial" w:hAnsi="Arial" w:cs="Arial"/>
        <w:color w:val="000000"/>
        <w:sz w:val="17"/>
        <w:szCs w:val="17"/>
      </w:rPr>
      <w:t>Tel</w:t>
    </w:r>
    <w:proofErr w:type="spellEnd"/>
    <w:r>
      <w:rPr>
        <w:rFonts w:ascii="Arial" w:eastAsia="Arial" w:hAnsi="Arial" w:cs="Arial"/>
        <w:color w:val="000000"/>
        <w:sz w:val="17"/>
        <w:szCs w:val="17"/>
      </w:rPr>
      <w:t>/Fax: (61) 2101-6000</w:t>
    </w:r>
  </w:p>
  <w:p w14:paraId="3066BF1D" w14:textId="77777777" w:rsidR="00D74876" w:rsidRDefault="00A162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17"/>
        <w:szCs w:val="17"/>
      </w:rPr>
    </w:pPr>
    <w:r>
      <w:rPr>
        <w:rFonts w:ascii="Arial" w:eastAsia="Arial" w:hAnsi="Arial" w:cs="Arial"/>
        <w:color w:val="000000"/>
        <w:sz w:val="17"/>
        <w:szCs w:val="17"/>
      </w:rPr>
      <w:t xml:space="preserve">Escritório: Rua Marcílio Dias nº 574 – Bairro Menino de Deus • Cep 90130-000 • Porto Alegre – RS • </w:t>
    </w:r>
    <w:proofErr w:type="spellStart"/>
    <w:r>
      <w:rPr>
        <w:rFonts w:ascii="Arial" w:eastAsia="Arial" w:hAnsi="Arial" w:cs="Arial"/>
        <w:color w:val="000000"/>
        <w:sz w:val="17"/>
        <w:szCs w:val="17"/>
      </w:rPr>
      <w:t>Tel</w:t>
    </w:r>
    <w:proofErr w:type="spellEnd"/>
    <w:r>
      <w:rPr>
        <w:rFonts w:ascii="Arial" w:eastAsia="Arial" w:hAnsi="Arial" w:cs="Arial"/>
        <w:color w:val="000000"/>
        <w:sz w:val="17"/>
        <w:szCs w:val="17"/>
      </w:rPr>
      <w:t>/Fax: (51) 3232-3330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F9763" w14:textId="77777777" w:rsidR="000A26DD" w:rsidRDefault="000A26DD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0C384" w14:textId="77777777" w:rsidR="00A16274" w:rsidRDefault="00A16274">
      <w:pPr>
        <w:spacing w:line="240" w:lineRule="auto"/>
        <w:ind w:left="0" w:hanging="2"/>
      </w:pPr>
      <w:r>
        <w:separator/>
      </w:r>
    </w:p>
  </w:footnote>
  <w:footnote w:type="continuationSeparator" w:id="0">
    <w:p w14:paraId="7E52688E" w14:textId="77777777" w:rsidR="00A16274" w:rsidRDefault="00A1627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D9E89" w14:textId="77777777" w:rsidR="000A26DD" w:rsidRDefault="000A26DD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E99CF" w14:textId="77777777" w:rsidR="00D74876" w:rsidRDefault="00A16274" w:rsidP="000A26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Chars="-513" w:left="0" w:hangingChars="513" w:hanging="1133"/>
      <w:rPr>
        <w:color w:val="000000"/>
        <w:szCs w:val="22"/>
      </w:rPr>
    </w:pPr>
    <w:r>
      <w:rPr>
        <w:noProof/>
        <w:color w:val="000000"/>
        <w:szCs w:val="22"/>
      </w:rPr>
      <w:drawing>
        <wp:inline distT="0" distB="0" distL="114300" distR="114300" wp14:anchorId="115D5E87" wp14:editId="46000ADA">
          <wp:extent cx="7571740" cy="145161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740" cy="145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DF90E" w14:textId="77777777" w:rsidR="000A26DD" w:rsidRDefault="000A26DD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192E7A"/>
    <w:multiLevelType w:val="multilevel"/>
    <w:tmpl w:val="50A2E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03984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876"/>
    <w:rsid w:val="000A26DD"/>
    <w:rsid w:val="003542A7"/>
    <w:rsid w:val="00A16274"/>
    <w:rsid w:val="00D74876"/>
    <w:rsid w:val="00F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7E68"/>
  <w15:docId w15:val="{A2B7410C-C283-4600-B90D-F9AF35FD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b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sz w:val="48"/>
      <w:szCs w:val="48"/>
    </w:rPr>
  </w:style>
  <w:style w:type="paragraph" w:styleId="Ttulo2">
    <w:name w:val="heading 2"/>
    <w:basedOn w:val="Normal"/>
    <w:uiPriority w:val="9"/>
    <w:semiHidden/>
    <w:unhideWhenUsed/>
    <w:qFormat/>
    <w:pPr>
      <w:spacing w:before="100" w:beforeAutospacing="1" w:after="100" w:afterAutospacing="1"/>
      <w:outlineLvl w:val="1"/>
    </w:pPr>
    <w:rPr>
      <w:rFonts w:ascii="Times New Roman" w:eastAsia="MS Mincho" w:hAnsi="Times New Roman"/>
      <w:bCs/>
      <w:sz w:val="36"/>
      <w:szCs w:val="36"/>
      <w:lang w:eastAsia="ja-JP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Garamond" w:hAnsi="Garamond"/>
      <w:b w:val="0"/>
      <w:sz w:val="28"/>
    </w:rPr>
  </w:style>
  <w:style w:type="paragraph" w:styleId="Corpodetexto2">
    <w:name w:val="Body Text 2"/>
    <w:basedOn w:val="Normal"/>
    <w:pPr>
      <w:jc w:val="center"/>
    </w:pPr>
    <w:rPr>
      <w:rFonts w:ascii="Arial" w:hAnsi="Arial" w:cs="Arial"/>
      <w:b w:val="0"/>
      <w:bCs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b w:val="0"/>
      <w:sz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sz w:val="16"/>
      <w:szCs w:val="16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Tabelaemcolunas1">
    <w:name w:val="Table Columns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paragraph" w:styleId="Legenda">
    <w:name w:val="caption"/>
    <w:basedOn w:val="Normal"/>
    <w:next w:val="Normal"/>
    <w:qFormat/>
    <w:rPr>
      <w:bCs/>
      <w:sz w:val="20"/>
      <w:szCs w:val="20"/>
    </w:rPr>
  </w:style>
  <w:style w:type="table" w:styleId="TabeladeLista6Colorida">
    <w:name w:val="List Table 6 Colorful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</w:style>
  <w:style w:type="table" w:styleId="TabeladeLista2">
    <w:name w:val="List Table 2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</w:style>
  <w:style w:type="paragraph" w:styleId="PargrafodaLista">
    <w:name w:val="List Paragraph"/>
    <w:basedOn w:val="Normal"/>
    <w:pPr>
      <w:ind w:left="708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4-nfase1">
    <w:name w:val="List Table 4 Accent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</w:style>
  <w:style w:type="table" w:styleId="TabeladeLista3-nfase1">
    <w:name w:val="List Table 3 Accent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</w:style>
  <w:style w:type="table" w:styleId="TabeladeGrade4-nfase1">
    <w:name w:val="Grid Table 4 Accent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</w:rPr>
  </w:style>
  <w:style w:type="table" w:styleId="TabeladeGrade4-nfase2">
    <w:name w:val="Grid Table 4 Accent 2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</w:style>
  <w:style w:type="character" w:customStyle="1" w:styleId="CabealhoChar">
    <w:name w:val="Cabeçalho Char"/>
    <w:rPr>
      <w:rFonts w:ascii="Tahoma" w:hAnsi="Tahoma"/>
      <w:b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Tahoma" w:hAnsi="Tahoma"/>
      <w:b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styleId="Tabelacolorida3">
    <w:name w:val="Table Colorful 3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</w:style>
  <w:style w:type="table" w:styleId="Tabelaelegante">
    <w:name w:val="Table Elegant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styleId="TabeladeLista2-nfase2">
    <w:name w:val="List Table 2 Accent 2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4B083"/>
        <w:bottom w:val="single" w:sz="4" w:space="0" w:color="F4B083"/>
        <w:insideH w:val="single" w:sz="4" w:space="0" w:color="F4B083"/>
      </w:tblBorders>
    </w:tblPr>
  </w:style>
  <w:style w:type="table" w:styleId="TabeladeLista2-nfase6">
    <w:name w:val="List Table 2 Accent 6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</w:style>
  <w:style w:type="table" w:styleId="TabeladeLista4">
    <w:name w:val="List Table 4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</w:style>
  <w:style w:type="table" w:styleId="TabeladeGrade4-nfase6">
    <w:name w:val="Grid Table 4 Accent 6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72AzNUxQIKMD/iZdHZQZl6UJxQ==">CgMxLjAyCGguZ2pkZ3hzOAByITFWOE9uYXFNTmVZN181M0NoUHdSdXRzVWw5djJEM28zOA==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2974</Characters>
  <Application>Microsoft Office Word</Application>
  <DocSecurity>0</DocSecurity>
  <Lines>24</Lines>
  <Paragraphs>7</Paragraphs>
  <ScaleCrop>false</ScaleCrop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tairo.arrial</dc:creator>
  <cp:lastModifiedBy>Saneamento CNM</cp:lastModifiedBy>
  <cp:revision>2</cp:revision>
  <dcterms:created xsi:type="dcterms:W3CDTF">2024-08-27T17:15:00Z</dcterms:created>
  <dcterms:modified xsi:type="dcterms:W3CDTF">2024-08-27T17:15:00Z</dcterms:modified>
</cp:coreProperties>
</file>